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82155D" w14:textId="6F0086F9" w:rsidR="009D0856" w:rsidRPr="00A66EAC" w:rsidRDefault="00F2029B" w:rsidP="00A66EAC">
      <w:pPr>
        <w:pStyle w:val="HTMLPreformatted"/>
        <w:rPr>
          <w:rFonts w:asciiTheme="majorHAnsi" w:hAnsiTheme="majorHAnsi" w:cs="Times New Roman"/>
          <w:b/>
          <w:sz w:val="28"/>
          <w:szCs w:val="28"/>
        </w:rPr>
      </w:pPr>
      <w:r>
        <w:rPr>
          <w:rFonts w:asciiTheme="majorHAnsi" w:hAnsiTheme="majorHAnsi" w:cs="Times New Roman"/>
          <w:b/>
          <w:bCs/>
          <w:sz w:val="28"/>
          <w:szCs w:val="28"/>
        </w:rPr>
        <w:t>Bioengineering of</w:t>
      </w:r>
      <w:r w:rsidR="00A66EAC" w:rsidRPr="00A66EAC">
        <w:rPr>
          <w:rFonts w:asciiTheme="majorHAnsi" w:hAnsiTheme="majorHAnsi" w:cs="Times New Roman"/>
          <w:b/>
          <w:bCs/>
          <w:sz w:val="28"/>
          <w:szCs w:val="28"/>
        </w:rPr>
        <w:t xml:space="preserve"> Direct Cellular Reprogramming</w:t>
      </w:r>
      <w:r w:rsidR="009D0856" w:rsidRPr="00A66EAC">
        <w:rPr>
          <w:rFonts w:asciiTheme="majorHAnsi" w:hAnsiTheme="majorHAnsi" w:cs="Times New Roman"/>
          <w:b/>
          <w:sz w:val="28"/>
          <w:szCs w:val="28"/>
        </w:rPr>
        <w:t xml:space="preserve"> </w:t>
      </w:r>
    </w:p>
    <w:p w14:paraId="047A8441" w14:textId="77777777" w:rsidR="009D0856" w:rsidRPr="00484B2D" w:rsidRDefault="009D0856" w:rsidP="00A66EAC">
      <w:pPr>
        <w:rPr>
          <w:rFonts w:asciiTheme="majorHAnsi" w:hAnsiTheme="majorHAnsi" w:cs="Times"/>
          <w:noProof/>
        </w:rPr>
      </w:pPr>
    </w:p>
    <w:p w14:paraId="3A1BDB1B" w14:textId="2F501398" w:rsidR="009D0856" w:rsidRDefault="009D0856" w:rsidP="00A66EAC">
      <w:pPr>
        <w:rPr>
          <w:rFonts w:asciiTheme="majorHAnsi" w:hAnsiTheme="majorHAnsi"/>
          <w:i/>
        </w:rPr>
      </w:pPr>
      <w:r w:rsidRPr="00A66EAC">
        <w:rPr>
          <w:rFonts w:asciiTheme="majorHAnsi" w:hAnsiTheme="majorHAnsi"/>
        </w:rPr>
        <w:t>Kam W Leong</w:t>
      </w:r>
      <w:r w:rsidR="00A66EAC">
        <w:rPr>
          <w:rFonts w:asciiTheme="majorHAnsi" w:hAnsiTheme="majorHAnsi"/>
          <w:i/>
        </w:rPr>
        <w:t xml:space="preserve">, </w:t>
      </w:r>
      <w:r w:rsidR="00943D75">
        <w:rPr>
          <w:rFonts w:asciiTheme="majorHAnsi" w:hAnsiTheme="majorHAnsi"/>
          <w:i/>
        </w:rPr>
        <w:t>Samuel Y Sheng Professor</w:t>
      </w:r>
    </w:p>
    <w:p w14:paraId="688E76E5" w14:textId="6D3F6E73" w:rsidR="009D0856" w:rsidRPr="00484B2D" w:rsidRDefault="009D0856" w:rsidP="00A66EAC">
      <w:pPr>
        <w:rPr>
          <w:rFonts w:asciiTheme="majorHAnsi" w:hAnsiTheme="majorHAnsi"/>
        </w:rPr>
      </w:pPr>
      <w:r w:rsidRPr="00484B2D">
        <w:rPr>
          <w:rFonts w:asciiTheme="majorHAnsi" w:hAnsiTheme="majorHAnsi"/>
        </w:rPr>
        <w:t>Departments</w:t>
      </w:r>
      <w:r>
        <w:rPr>
          <w:rFonts w:asciiTheme="majorHAnsi" w:hAnsiTheme="majorHAnsi"/>
        </w:rPr>
        <w:t xml:space="preserve"> of Biomedical Engineering</w:t>
      </w:r>
      <w:r w:rsidR="00A66EAC">
        <w:rPr>
          <w:rFonts w:asciiTheme="majorHAnsi" w:hAnsiTheme="majorHAnsi"/>
        </w:rPr>
        <w:t xml:space="preserve"> | </w:t>
      </w:r>
      <w:r>
        <w:rPr>
          <w:rFonts w:asciiTheme="majorHAnsi" w:hAnsiTheme="majorHAnsi"/>
        </w:rPr>
        <w:t>Columbia University</w:t>
      </w:r>
      <w:r w:rsidR="00A66EAC">
        <w:rPr>
          <w:rFonts w:asciiTheme="majorHAnsi" w:hAnsiTheme="majorHAnsi"/>
        </w:rPr>
        <w:t xml:space="preserve"> |</w:t>
      </w:r>
      <w:r w:rsidRPr="00484B2D">
        <w:rPr>
          <w:rFonts w:asciiTheme="majorHAnsi" w:hAnsiTheme="majorHAnsi"/>
        </w:rPr>
        <w:t xml:space="preserve"> </w:t>
      </w:r>
      <w:r>
        <w:rPr>
          <w:rFonts w:asciiTheme="majorHAnsi" w:hAnsiTheme="majorHAnsi"/>
        </w:rPr>
        <w:t>New York, NY 10027</w:t>
      </w:r>
    </w:p>
    <w:p w14:paraId="4D83D5CA" w14:textId="64B869D9" w:rsidR="0064450D" w:rsidRDefault="00121B42" w:rsidP="00121B42">
      <w:pPr>
        <w:spacing w:before="240" w:after="240"/>
        <w:jc w:val="both"/>
        <w:rPr>
          <w:rFonts w:asciiTheme="majorHAnsi" w:hAnsiTheme="majorHAnsi"/>
        </w:rPr>
      </w:pPr>
      <w:proofErr w:type="gramStart"/>
      <w:r>
        <w:rPr>
          <w:rFonts w:asciiTheme="majorHAnsi" w:hAnsiTheme="majorHAnsi"/>
          <w:bCs/>
        </w:rPr>
        <w:t>D</w:t>
      </w:r>
      <w:r w:rsidR="009D0856" w:rsidRPr="00484B2D">
        <w:rPr>
          <w:rFonts w:asciiTheme="majorHAnsi" w:hAnsiTheme="majorHAnsi"/>
          <w:bCs/>
        </w:rPr>
        <w:t xml:space="preserve">irect </w:t>
      </w:r>
      <w:r w:rsidR="009D0856">
        <w:rPr>
          <w:rFonts w:asciiTheme="majorHAnsi" w:hAnsiTheme="majorHAnsi"/>
          <w:bCs/>
        </w:rPr>
        <w:t xml:space="preserve">cell </w:t>
      </w:r>
      <w:r w:rsidR="009D0856" w:rsidRPr="00484B2D">
        <w:rPr>
          <w:rFonts w:asciiTheme="majorHAnsi" w:hAnsiTheme="majorHAnsi"/>
          <w:bCs/>
        </w:rPr>
        <w:t xml:space="preserve">reprogramming, where differentiated cells are reprogrammed into another lineage without going through an intermediate stem cell-like stage, </w:t>
      </w:r>
      <w:r w:rsidR="009D0856">
        <w:rPr>
          <w:rFonts w:asciiTheme="majorHAnsi" w:hAnsiTheme="majorHAnsi"/>
          <w:bCs/>
        </w:rPr>
        <w:t xml:space="preserve">produces cells </w:t>
      </w:r>
      <w:r w:rsidR="009D0856" w:rsidRPr="00484B2D">
        <w:rPr>
          <w:rFonts w:asciiTheme="majorHAnsi" w:hAnsiTheme="majorHAnsi"/>
          <w:bCs/>
        </w:rPr>
        <w:t xml:space="preserve">promising </w:t>
      </w:r>
      <w:r w:rsidR="009D0856">
        <w:rPr>
          <w:rFonts w:asciiTheme="majorHAnsi" w:hAnsiTheme="majorHAnsi"/>
          <w:bCs/>
        </w:rPr>
        <w:t>for</w:t>
      </w:r>
      <w:r w:rsidR="009D0856" w:rsidRPr="00484B2D">
        <w:rPr>
          <w:rFonts w:asciiTheme="majorHAnsi" w:hAnsiTheme="majorHAnsi"/>
          <w:bCs/>
        </w:rPr>
        <w:t xml:space="preserve"> regenerative medicine.</w:t>
      </w:r>
      <w:proofErr w:type="gramEnd"/>
      <w:r w:rsidR="009D0856" w:rsidRPr="00484B2D">
        <w:rPr>
          <w:rFonts w:asciiTheme="majorHAnsi" w:hAnsiTheme="majorHAnsi"/>
          <w:bCs/>
        </w:rPr>
        <w:t xml:space="preserve"> </w:t>
      </w:r>
      <w:r w:rsidR="009D0856">
        <w:rPr>
          <w:rFonts w:asciiTheme="majorHAnsi" w:hAnsiTheme="majorHAnsi"/>
          <w:bCs/>
        </w:rPr>
        <w:t xml:space="preserve">It obviates the use of embryos and minimizes the risk of teratoma formation associated with the use of induced pluripotent stem cells. </w:t>
      </w:r>
      <w:r w:rsidR="009D0856" w:rsidRPr="00484B2D">
        <w:rPr>
          <w:rFonts w:asciiTheme="majorHAnsi" w:hAnsiTheme="majorHAnsi"/>
          <w:bCs/>
        </w:rPr>
        <w:t xml:space="preserve">To facilitate eventual translation of transdifferentiation technologies we have demonstrated the feasibility of converting fibroblasts into neurons by nonviral overexpression of transcription factors. The poor conversion efficiency of nonviral direct </w:t>
      </w:r>
      <w:r w:rsidR="009D0856">
        <w:rPr>
          <w:rFonts w:asciiTheme="majorHAnsi" w:hAnsiTheme="majorHAnsi"/>
          <w:bCs/>
        </w:rPr>
        <w:t xml:space="preserve">cell </w:t>
      </w:r>
      <w:r w:rsidR="009D0856" w:rsidRPr="00484B2D">
        <w:rPr>
          <w:rFonts w:asciiTheme="majorHAnsi" w:hAnsiTheme="majorHAnsi"/>
          <w:bCs/>
        </w:rPr>
        <w:t xml:space="preserve">reprogramming </w:t>
      </w:r>
      <w:r w:rsidR="009D0856">
        <w:rPr>
          <w:rFonts w:asciiTheme="majorHAnsi" w:hAnsiTheme="majorHAnsi"/>
          <w:bCs/>
        </w:rPr>
        <w:t xml:space="preserve">requires improvement. I will discuss our effort on </w:t>
      </w:r>
      <w:r w:rsidR="00142D01">
        <w:rPr>
          <w:rFonts w:asciiTheme="majorHAnsi" w:hAnsiTheme="majorHAnsi"/>
          <w:bCs/>
        </w:rPr>
        <w:t>using engineering strategies to optimize</w:t>
      </w:r>
      <w:r w:rsidR="009D0856">
        <w:rPr>
          <w:rFonts w:asciiTheme="majorHAnsi" w:hAnsiTheme="majorHAnsi"/>
          <w:bCs/>
        </w:rPr>
        <w:t xml:space="preserve"> the biochemical and physical cues to enhance neuronal transdifferentiation. In particular, I will </w:t>
      </w:r>
      <w:r w:rsidR="00142D01">
        <w:rPr>
          <w:rFonts w:asciiTheme="majorHAnsi" w:hAnsiTheme="majorHAnsi"/>
          <w:bCs/>
        </w:rPr>
        <w:t xml:space="preserve">discuss the application of DNA nanoparticles to achieve direct conversion of fibroblasts into neuronal cells. I will also </w:t>
      </w:r>
      <w:r w:rsidR="009D0856" w:rsidRPr="00484B2D">
        <w:rPr>
          <w:rFonts w:asciiTheme="majorHAnsi" w:hAnsiTheme="majorHAnsi"/>
        </w:rPr>
        <w:t xml:space="preserve">highlight the role of </w:t>
      </w:r>
      <w:r w:rsidR="00142D01">
        <w:rPr>
          <w:rFonts w:asciiTheme="majorHAnsi" w:hAnsiTheme="majorHAnsi"/>
        </w:rPr>
        <w:t>nano</w:t>
      </w:r>
      <w:r w:rsidR="009D0856" w:rsidRPr="00484B2D">
        <w:rPr>
          <w:rFonts w:asciiTheme="majorHAnsi" w:hAnsiTheme="majorHAnsi"/>
        </w:rPr>
        <w:t>topographical substrates in modulating the purity, conversion kinetics, and subtypes of the induced neurons gener</w:t>
      </w:r>
      <w:r w:rsidR="009D0856">
        <w:rPr>
          <w:rFonts w:asciiTheme="majorHAnsi" w:hAnsiTheme="majorHAnsi"/>
        </w:rPr>
        <w:t>ated by direct reprogramming. I</w:t>
      </w:r>
      <w:r w:rsidR="009D0856" w:rsidRPr="00484B2D">
        <w:rPr>
          <w:rFonts w:asciiTheme="majorHAnsi" w:hAnsiTheme="majorHAnsi"/>
        </w:rPr>
        <w:t xml:space="preserve"> will also discuss our recent effort on using CRISPR/</w:t>
      </w:r>
      <w:r w:rsidR="009D0856">
        <w:rPr>
          <w:rFonts w:asciiTheme="majorHAnsi" w:hAnsiTheme="majorHAnsi"/>
        </w:rPr>
        <w:t>d</w:t>
      </w:r>
      <w:r w:rsidR="009D0856" w:rsidRPr="00484B2D">
        <w:rPr>
          <w:rFonts w:asciiTheme="majorHAnsi" w:hAnsiTheme="majorHAnsi"/>
        </w:rPr>
        <w:t>Cas9 gene activation approach to achieve direct cellular reprogramming.</w:t>
      </w:r>
      <w:r w:rsidR="00484B2D" w:rsidRPr="00484B2D">
        <w:rPr>
          <w:rFonts w:asciiTheme="majorHAnsi" w:hAnsiTheme="majorHAnsi"/>
        </w:rPr>
        <w:t xml:space="preserve"> </w:t>
      </w:r>
    </w:p>
    <w:p w14:paraId="35BCAD26" w14:textId="16F4EC8E" w:rsidR="000452E2" w:rsidRPr="00121B42" w:rsidRDefault="00B5360C" w:rsidP="00121B42">
      <w:pPr>
        <w:ind w:left="180" w:hanging="180"/>
        <w:jc w:val="both"/>
        <w:rPr>
          <w:rFonts w:asciiTheme="majorHAnsi" w:hAnsiTheme="majorHAnsi"/>
          <w:sz w:val="20"/>
          <w:szCs w:val="20"/>
        </w:rPr>
      </w:pPr>
      <w:r w:rsidRPr="00121B42">
        <w:rPr>
          <w:rFonts w:asciiTheme="majorHAnsi" w:hAnsiTheme="majorHAnsi"/>
          <w:sz w:val="20"/>
          <w:szCs w:val="20"/>
        </w:rPr>
        <w:t xml:space="preserve">Adler AF, Grigsby CL, </w:t>
      </w:r>
      <w:proofErr w:type="spellStart"/>
      <w:r w:rsidRPr="00121B42">
        <w:rPr>
          <w:rFonts w:asciiTheme="majorHAnsi" w:hAnsiTheme="majorHAnsi"/>
          <w:sz w:val="20"/>
          <w:szCs w:val="20"/>
        </w:rPr>
        <w:t>Kulangara</w:t>
      </w:r>
      <w:proofErr w:type="spellEnd"/>
      <w:r w:rsidRPr="00121B42">
        <w:rPr>
          <w:rFonts w:asciiTheme="majorHAnsi" w:hAnsiTheme="majorHAnsi"/>
          <w:sz w:val="20"/>
          <w:szCs w:val="20"/>
        </w:rPr>
        <w:t xml:space="preserve"> K, Wang H, Yasuda R, and Leong KW. </w:t>
      </w:r>
      <w:proofErr w:type="gramStart"/>
      <w:r w:rsidRPr="00121B42">
        <w:rPr>
          <w:rFonts w:asciiTheme="majorHAnsi" w:hAnsiTheme="majorHAnsi"/>
          <w:i/>
          <w:iCs/>
          <w:sz w:val="20"/>
          <w:szCs w:val="20"/>
        </w:rPr>
        <w:t>Nonviral direct conversion of primary mouse embryonic fibroblasts to neuronal cells.</w:t>
      </w:r>
      <w:proofErr w:type="gramEnd"/>
      <w:r w:rsidRPr="00121B42">
        <w:rPr>
          <w:rFonts w:asciiTheme="majorHAnsi" w:hAnsiTheme="majorHAnsi"/>
          <w:sz w:val="20"/>
          <w:szCs w:val="20"/>
        </w:rPr>
        <w:t xml:space="preserve"> </w:t>
      </w:r>
      <w:proofErr w:type="spellStart"/>
      <w:proofErr w:type="gramStart"/>
      <w:r w:rsidRPr="00121B42">
        <w:rPr>
          <w:rFonts w:asciiTheme="majorHAnsi" w:hAnsiTheme="majorHAnsi"/>
          <w:sz w:val="20"/>
          <w:szCs w:val="20"/>
        </w:rPr>
        <w:t>Mol</w:t>
      </w:r>
      <w:proofErr w:type="spellEnd"/>
      <w:r w:rsidRPr="00121B42">
        <w:rPr>
          <w:rFonts w:asciiTheme="majorHAnsi" w:hAnsiTheme="majorHAnsi"/>
          <w:sz w:val="20"/>
          <w:szCs w:val="20"/>
        </w:rPr>
        <w:t xml:space="preserve"> </w:t>
      </w:r>
      <w:proofErr w:type="spellStart"/>
      <w:r w:rsidRPr="00121B42">
        <w:rPr>
          <w:rFonts w:asciiTheme="majorHAnsi" w:hAnsiTheme="majorHAnsi"/>
          <w:sz w:val="20"/>
          <w:szCs w:val="20"/>
        </w:rPr>
        <w:t>Ther</w:t>
      </w:r>
      <w:proofErr w:type="spellEnd"/>
      <w:r w:rsidRPr="00121B42">
        <w:rPr>
          <w:rFonts w:asciiTheme="majorHAnsi" w:hAnsiTheme="majorHAnsi"/>
          <w:sz w:val="20"/>
          <w:szCs w:val="20"/>
        </w:rPr>
        <w:t xml:space="preserve"> Nucleic Acid.</w:t>
      </w:r>
      <w:proofErr w:type="gramEnd"/>
      <w:r w:rsidRPr="00121B42">
        <w:rPr>
          <w:rFonts w:asciiTheme="majorHAnsi" w:hAnsiTheme="majorHAnsi"/>
          <w:sz w:val="20"/>
          <w:szCs w:val="20"/>
        </w:rPr>
        <w:t xml:space="preserve"> </w:t>
      </w:r>
      <w:r w:rsidRPr="00121B42">
        <w:rPr>
          <w:rFonts w:asciiTheme="majorHAnsi" w:hAnsiTheme="majorHAnsi"/>
          <w:bCs/>
          <w:sz w:val="20"/>
          <w:szCs w:val="20"/>
        </w:rPr>
        <w:t>1</w:t>
      </w:r>
      <w:r w:rsidRPr="00121B42">
        <w:rPr>
          <w:rFonts w:asciiTheme="majorHAnsi" w:hAnsiTheme="majorHAnsi"/>
          <w:sz w:val="20"/>
          <w:szCs w:val="20"/>
        </w:rPr>
        <w:t xml:space="preserve">: p. e32. (2012) </w:t>
      </w:r>
    </w:p>
    <w:p w14:paraId="657EE568" w14:textId="00EB06CF" w:rsidR="00B5360C" w:rsidRPr="00121B42" w:rsidRDefault="00B5360C" w:rsidP="00121B42">
      <w:pPr>
        <w:ind w:left="180" w:hanging="180"/>
        <w:jc w:val="both"/>
        <w:rPr>
          <w:rFonts w:asciiTheme="majorHAnsi" w:hAnsiTheme="majorHAnsi" w:cs="Helvetica"/>
          <w:bCs/>
          <w:sz w:val="20"/>
          <w:szCs w:val="20"/>
        </w:rPr>
      </w:pPr>
      <w:proofErr w:type="spellStart"/>
      <w:r w:rsidRPr="00121B42">
        <w:rPr>
          <w:rFonts w:asciiTheme="majorHAnsi" w:hAnsiTheme="majorHAnsi" w:cs="Helvetica"/>
          <w:bCs/>
          <w:sz w:val="20"/>
          <w:szCs w:val="20"/>
        </w:rPr>
        <w:t>Kulangara</w:t>
      </w:r>
      <w:proofErr w:type="spellEnd"/>
      <w:r w:rsidRPr="00121B42">
        <w:rPr>
          <w:rFonts w:asciiTheme="majorHAnsi" w:hAnsiTheme="majorHAnsi" w:cs="Helvetica"/>
          <w:bCs/>
          <w:sz w:val="20"/>
          <w:szCs w:val="20"/>
        </w:rPr>
        <w:t xml:space="preserve"> K, Adler AF, Wang H, </w:t>
      </w:r>
      <w:proofErr w:type="spellStart"/>
      <w:r w:rsidRPr="00121B42">
        <w:rPr>
          <w:rFonts w:asciiTheme="majorHAnsi" w:hAnsiTheme="majorHAnsi" w:cs="Helvetica"/>
          <w:bCs/>
          <w:sz w:val="20"/>
          <w:szCs w:val="20"/>
        </w:rPr>
        <w:t>Chellappan</w:t>
      </w:r>
      <w:proofErr w:type="spellEnd"/>
      <w:r w:rsidRPr="00121B42">
        <w:rPr>
          <w:rFonts w:asciiTheme="majorHAnsi" w:hAnsiTheme="majorHAnsi" w:cs="Helvetica"/>
          <w:bCs/>
          <w:sz w:val="20"/>
          <w:szCs w:val="20"/>
        </w:rPr>
        <w:t xml:space="preserve"> M, Hammett E, Yasuda R, Leong KW. </w:t>
      </w:r>
      <w:r w:rsidRPr="00121B42">
        <w:rPr>
          <w:rFonts w:asciiTheme="majorHAnsi" w:hAnsiTheme="majorHAnsi" w:cs="Helvetica"/>
          <w:bCs/>
          <w:i/>
          <w:iCs/>
          <w:sz w:val="20"/>
          <w:szCs w:val="20"/>
        </w:rPr>
        <w:t xml:space="preserve">The effect of substrate </w:t>
      </w:r>
      <w:proofErr w:type="spellStart"/>
      <w:r w:rsidRPr="00121B42">
        <w:rPr>
          <w:rFonts w:asciiTheme="majorHAnsi" w:hAnsiTheme="majorHAnsi" w:cs="Helvetica"/>
          <w:bCs/>
          <w:i/>
          <w:iCs/>
          <w:sz w:val="20"/>
          <w:szCs w:val="20"/>
        </w:rPr>
        <w:t>topo</w:t>
      </w:r>
      <w:r w:rsidR="00121B42">
        <w:rPr>
          <w:rFonts w:asciiTheme="majorHAnsi" w:hAnsiTheme="majorHAnsi" w:cs="Helvetica"/>
          <w:bCs/>
          <w:i/>
          <w:iCs/>
          <w:sz w:val="20"/>
          <w:szCs w:val="20"/>
        </w:rPr>
        <w:t>-</w:t>
      </w:r>
      <w:r w:rsidRPr="00121B42">
        <w:rPr>
          <w:rFonts w:asciiTheme="majorHAnsi" w:hAnsiTheme="majorHAnsi" w:cs="Helvetica"/>
          <w:bCs/>
          <w:i/>
          <w:iCs/>
          <w:sz w:val="20"/>
          <w:szCs w:val="20"/>
        </w:rPr>
        <w:t>graphy</w:t>
      </w:r>
      <w:proofErr w:type="spellEnd"/>
      <w:r w:rsidRPr="00121B42">
        <w:rPr>
          <w:rFonts w:asciiTheme="majorHAnsi" w:hAnsiTheme="majorHAnsi" w:cs="Helvetica"/>
          <w:bCs/>
          <w:i/>
          <w:iCs/>
          <w:sz w:val="20"/>
          <w:szCs w:val="20"/>
        </w:rPr>
        <w:t xml:space="preserve"> on direct reprogramming of fibroblasts to induced neurons.</w:t>
      </w:r>
      <w:r w:rsidRPr="00121B42">
        <w:rPr>
          <w:rFonts w:asciiTheme="majorHAnsi" w:hAnsiTheme="majorHAnsi" w:cs="Helvetica"/>
          <w:bCs/>
          <w:sz w:val="20"/>
          <w:szCs w:val="20"/>
        </w:rPr>
        <w:t xml:space="preserve"> Biomaterials. 35(20): p. 5327-36. (2014)</w:t>
      </w:r>
    </w:p>
    <w:p w14:paraId="55AD8A43" w14:textId="367319A9" w:rsidR="0064450D" w:rsidRPr="0064450D" w:rsidRDefault="00121B42" w:rsidP="0078275C">
      <w:pPr>
        <w:ind w:left="180" w:hanging="180"/>
        <w:jc w:val="both"/>
        <w:rPr>
          <w:rFonts w:asciiTheme="majorHAnsi" w:hAnsiTheme="majorHAnsi"/>
          <w:b/>
          <w:bCs/>
        </w:rPr>
      </w:pPr>
      <w:proofErr w:type="spellStart"/>
      <w:r w:rsidRPr="00121B42">
        <w:rPr>
          <w:rFonts w:asciiTheme="majorHAnsi" w:hAnsiTheme="majorHAnsi"/>
          <w:sz w:val="20"/>
          <w:szCs w:val="20"/>
        </w:rPr>
        <w:t>Chakraborty</w:t>
      </w:r>
      <w:proofErr w:type="spellEnd"/>
      <w:r w:rsidRPr="00121B42">
        <w:rPr>
          <w:rFonts w:asciiTheme="majorHAnsi" w:hAnsiTheme="majorHAnsi"/>
          <w:sz w:val="20"/>
          <w:szCs w:val="20"/>
        </w:rPr>
        <w:t xml:space="preserve"> S, </w:t>
      </w:r>
      <w:proofErr w:type="spellStart"/>
      <w:r w:rsidRPr="00121B42">
        <w:rPr>
          <w:rFonts w:asciiTheme="majorHAnsi" w:hAnsiTheme="majorHAnsi"/>
          <w:sz w:val="20"/>
          <w:szCs w:val="20"/>
        </w:rPr>
        <w:t>Ji</w:t>
      </w:r>
      <w:proofErr w:type="spellEnd"/>
      <w:r w:rsidRPr="00121B42">
        <w:rPr>
          <w:rFonts w:asciiTheme="majorHAnsi" w:hAnsiTheme="majorHAnsi"/>
          <w:sz w:val="20"/>
          <w:szCs w:val="20"/>
        </w:rPr>
        <w:t xml:space="preserve"> H, </w:t>
      </w:r>
      <w:proofErr w:type="spellStart"/>
      <w:r w:rsidRPr="00121B42">
        <w:rPr>
          <w:rFonts w:asciiTheme="majorHAnsi" w:hAnsiTheme="majorHAnsi"/>
          <w:sz w:val="20"/>
          <w:szCs w:val="20"/>
        </w:rPr>
        <w:t>Kabadi</w:t>
      </w:r>
      <w:proofErr w:type="spellEnd"/>
      <w:r w:rsidRPr="00121B42">
        <w:rPr>
          <w:rFonts w:asciiTheme="majorHAnsi" w:hAnsiTheme="majorHAnsi"/>
          <w:sz w:val="20"/>
          <w:szCs w:val="20"/>
        </w:rPr>
        <w:t xml:space="preserve"> AM, </w:t>
      </w:r>
      <w:proofErr w:type="spellStart"/>
      <w:r w:rsidRPr="00121B42">
        <w:rPr>
          <w:rFonts w:asciiTheme="majorHAnsi" w:hAnsiTheme="majorHAnsi"/>
          <w:sz w:val="20"/>
          <w:szCs w:val="20"/>
        </w:rPr>
        <w:t>Gersbach</w:t>
      </w:r>
      <w:proofErr w:type="spellEnd"/>
      <w:r w:rsidRPr="00121B42">
        <w:rPr>
          <w:rFonts w:asciiTheme="majorHAnsi" w:hAnsiTheme="majorHAnsi"/>
          <w:sz w:val="20"/>
          <w:szCs w:val="20"/>
        </w:rPr>
        <w:t xml:space="preserve"> CA, Christoforou N, and Leong KW. </w:t>
      </w:r>
      <w:proofErr w:type="gramStart"/>
      <w:r w:rsidRPr="00121B42">
        <w:rPr>
          <w:rFonts w:asciiTheme="majorHAnsi" w:hAnsiTheme="majorHAnsi"/>
          <w:i/>
          <w:iCs/>
          <w:sz w:val="20"/>
          <w:szCs w:val="20"/>
        </w:rPr>
        <w:t>A CRISPR/Cas9-based system for reprogramming cell lineage specification.</w:t>
      </w:r>
      <w:proofErr w:type="gramEnd"/>
      <w:r w:rsidRPr="00121B42">
        <w:rPr>
          <w:rFonts w:asciiTheme="majorHAnsi" w:hAnsiTheme="majorHAnsi"/>
          <w:sz w:val="20"/>
          <w:szCs w:val="20"/>
        </w:rPr>
        <w:t xml:space="preserve"> Stem Cell Reports, </w:t>
      </w:r>
      <w:r w:rsidRPr="00121B42">
        <w:rPr>
          <w:rFonts w:asciiTheme="majorHAnsi" w:hAnsiTheme="majorHAnsi"/>
          <w:bCs/>
          <w:sz w:val="20"/>
          <w:szCs w:val="20"/>
        </w:rPr>
        <w:t>3</w:t>
      </w:r>
      <w:r w:rsidRPr="00121B42">
        <w:rPr>
          <w:rFonts w:asciiTheme="majorHAnsi" w:hAnsiTheme="majorHAnsi"/>
          <w:sz w:val="20"/>
          <w:szCs w:val="20"/>
        </w:rPr>
        <w:t>(6): p. 940-7. 2014</w:t>
      </w:r>
      <w:r w:rsidR="0078275C">
        <w:rPr>
          <w:rFonts w:asciiTheme="majorHAnsi" w:hAnsiTheme="majorHAnsi"/>
          <w:sz w:val="20"/>
          <w:szCs w:val="20"/>
        </w:rPr>
        <w:t>.</w:t>
      </w:r>
      <w:bookmarkStart w:id="0" w:name="_GoBack"/>
      <w:bookmarkEnd w:id="0"/>
    </w:p>
    <w:p w14:paraId="32896C95" w14:textId="77777777" w:rsidR="00883595" w:rsidRPr="00484B2D" w:rsidRDefault="00883595" w:rsidP="00CF7474">
      <w:pPr>
        <w:rPr>
          <w:rFonts w:asciiTheme="majorHAnsi" w:hAnsiTheme="majorHAnsi"/>
          <w:bCs/>
        </w:rPr>
      </w:pPr>
    </w:p>
    <w:p w14:paraId="3D296548" w14:textId="5C19572E" w:rsidR="000452E2" w:rsidRPr="000452E2" w:rsidRDefault="00CE6739" w:rsidP="00121B42">
      <w:pPr>
        <w:jc w:val="both"/>
        <w:rPr>
          <w:rFonts w:asciiTheme="majorHAnsi" w:hAnsiTheme="majorHAnsi"/>
        </w:rPr>
      </w:pPr>
      <w:r>
        <w:rPr>
          <w:rFonts w:asciiTheme="majorHAnsi" w:hAnsiTheme="majorHAnsi"/>
          <w:noProof/>
        </w:rPr>
        <w:drawing>
          <wp:anchor distT="0" distB="0" distL="114300" distR="114300" simplePos="0" relativeHeight="251658240" behindDoc="0" locked="0" layoutInCell="1" allowOverlap="1" wp14:anchorId="5D84939F" wp14:editId="44C48F4C">
            <wp:simplePos x="0" y="0"/>
            <wp:positionH relativeFrom="column">
              <wp:posOffset>0</wp:posOffset>
            </wp:positionH>
            <wp:positionV relativeFrom="paragraph">
              <wp:posOffset>0</wp:posOffset>
            </wp:positionV>
            <wp:extent cx="1523365" cy="1425575"/>
            <wp:effectExtent l="0" t="0" r="635" b="0"/>
            <wp:wrapTight wrapText="bothSides">
              <wp:wrapPolygon edited="0">
                <wp:start x="0" y="0"/>
                <wp:lineTo x="0" y="21167"/>
                <wp:lineTo x="21249" y="21167"/>
                <wp:lineTo x="2124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Col-1.jpg"/>
                    <pic:cNvPicPr/>
                  </pic:nvPicPr>
                  <pic:blipFill>
                    <a:blip r:embed="rId8">
                      <a:extLst>
                        <a:ext uri="{28A0092B-C50C-407E-A947-70E740481C1C}">
                          <a14:useLocalDpi xmlns:a14="http://schemas.microsoft.com/office/drawing/2010/main" val="0"/>
                        </a:ext>
                      </a:extLst>
                    </a:blip>
                    <a:stretch>
                      <a:fillRect/>
                    </a:stretch>
                  </pic:blipFill>
                  <pic:spPr>
                    <a:xfrm>
                      <a:off x="0" y="0"/>
                      <a:ext cx="1523365" cy="1425575"/>
                    </a:xfrm>
                    <a:prstGeom prst="rect">
                      <a:avLst/>
                    </a:prstGeom>
                  </pic:spPr>
                </pic:pic>
              </a:graphicData>
            </a:graphic>
            <wp14:sizeRelH relativeFrom="page">
              <wp14:pctWidth>0</wp14:pctWidth>
            </wp14:sizeRelH>
            <wp14:sizeRelV relativeFrom="page">
              <wp14:pctHeight>0</wp14:pctHeight>
            </wp14:sizeRelV>
          </wp:anchor>
        </w:drawing>
      </w:r>
      <w:r w:rsidR="000452E2" w:rsidRPr="000452E2">
        <w:rPr>
          <w:rFonts w:asciiTheme="majorHAnsi" w:hAnsiTheme="majorHAnsi"/>
        </w:rPr>
        <w:t>Kam W. Leong is the Samuel Y. Sheng Professor of Biomedical Engineering at Columbia University. He received his PhD in Chemical Engineering from the University of Pennsylvania. After serving as a faculty in the Department of Biomedical Engineering at The Johns Hopkins School of Medicine for almost 20 years, he moved to Duke University in 2006 to focus on understanding and exploiting the interactions of cells with nanostructures for therapeutic applications. He has just joined Columbia University in September 2014. His lab works on nanoparticle-mediated nonviral gene delivery and immunotherapy, from design and synthesis of new carriers to applications for hemophilia and infectious diseases. The lab also works on the application of nanostructured biomaterials for regenerative medicine, particularly on understanding cell-topography interactions and on the application of nonviral vectors for direct cellular reprogramming. He has published ~</w:t>
      </w:r>
      <w:r w:rsidR="0078275C">
        <w:rPr>
          <w:rFonts w:asciiTheme="majorHAnsi" w:hAnsiTheme="majorHAnsi"/>
        </w:rPr>
        <w:t>30</w:t>
      </w:r>
      <w:r w:rsidR="000452E2" w:rsidRPr="000452E2">
        <w:rPr>
          <w:rFonts w:asciiTheme="majorHAnsi" w:hAnsiTheme="majorHAnsi"/>
        </w:rPr>
        <w:t>0 peer-reviewed research manuscripts</w:t>
      </w:r>
      <w:r w:rsidR="0078275C">
        <w:rPr>
          <w:rFonts w:asciiTheme="majorHAnsi" w:hAnsiTheme="majorHAnsi"/>
        </w:rPr>
        <w:t xml:space="preserve"> with citations exceeding 28,000,</w:t>
      </w:r>
      <w:r w:rsidR="000452E2" w:rsidRPr="000452E2">
        <w:rPr>
          <w:rFonts w:asciiTheme="majorHAnsi" w:hAnsiTheme="majorHAnsi"/>
        </w:rPr>
        <w:t xml:space="preserve"> and holds more than 50 issued patents. His work has been recognized by a </w:t>
      </w:r>
      <w:r w:rsidR="000452E2" w:rsidRPr="000452E2">
        <w:rPr>
          <w:rFonts w:asciiTheme="majorHAnsi" w:hAnsiTheme="majorHAnsi"/>
          <w:bCs/>
        </w:rPr>
        <w:t xml:space="preserve">Young Investigator Research Achievement Award of the Controlled Release Society, Distinguished Scientist Award of the International Journal of Nanomedicine, and </w:t>
      </w:r>
      <w:r w:rsidR="000452E2" w:rsidRPr="000452E2">
        <w:rPr>
          <w:rFonts w:asciiTheme="majorHAnsi" w:hAnsiTheme="majorHAnsi"/>
        </w:rPr>
        <w:t>Clemson Award for Applied Research</w:t>
      </w:r>
      <w:r w:rsidR="000452E2" w:rsidRPr="000452E2">
        <w:rPr>
          <w:rFonts w:asciiTheme="majorHAnsi" w:hAnsiTheme="majorHAnsi"/>
          <w:bCs/>
        </w:rPr>
        <w:t xml:space="preserve"> of the</w:t>
      </w:r>
      <w:r w:rsidR="000452E2" w:rsidRPr="000452E2">
        <w:rPr>
          <w:rFonts w:asciiTheme="majorHAnsi" w:hAnsiTheme="majorHAnsi"/>
        </w:rPr>
        <w:t xml:space="preserve"> Society for Biomaterials. He is the Editor-in-Chief of </w:t>
      </w:r>
      <w:r w:rsidR="000452E2" w:rsidRPr="000452E2">
        <w:rPr>
          <w:rFonts w:asciiTheme="majorHAnsi" w:hAnsiTheme="majorHAnsi"/>
          <w:i/>
        </w:rPr>
        <w:t>Biomaterials</w:t>
      </w:r>
      <w:r w:rsidR="000452E2" w:rsidRPr="000452E2">
        <w:rPr>
          <w:rFonts w:asciiTheme="majorHAnsi" w:hAnsiTheme="majorHAnsi"/>
        </w:rPr>
        <w:t>, a member of the National Academy of Inventors, and a member of the USA National Academy of Engineering.</w:t>
      </w:r>
    </w:p>
    <w:sectPr w:rsidR="000452E2" w:rsidRPr="000452E2" w:rsidSect="00121B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AB2A15" w14:textId="77777777" w:rsidR="00121B42" w:rsidRDefault="00121B42" w:rsidP="00C30A16">
      <w:r>
        <w:separator/>
      </w:r>
    </w:p>
  </w:endnote>
  <w:endnote w:type="continuationSeparator" w:id="0">
    <w:p w14:paraId="00A3C270" w14:textId="77777777" w:rsidR="00121B42" w:rsidRDefault="00121B42" w:rsidP="00C30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charset w:val="88"/>
    <w:family w:val="roman"/>
    <w:pitch w:val="variable"/>
    <w:sig w:usb0="A00002FF" w:usb1="28CFFCFA" w:usb2="00000016" w:usb3="00000000" w:csb0="00100001"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4623FA" w14:textId="77777777" w:rsidR="00121B42" w:rsidRDefault="00121B42" w:rsidP="00C30A16">
      <w:r>
        <w:separator/>
      </w:r>
    </w:p>
  </w:footnote>
  <w:footnote w:type="continuationSeparator" w:id="0">
    <w:p w14:paraId="61CC02E4" w14:textId="77777777" w:rsidR="00121B42" w:rsidRDefault="00121B42" w:rsidP="00C30A1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096F27"/>
    <w:multiLevelType w:val="hybridMultilevel"/>
    <w:tmpl w:val="FC1AF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8"/>
  <w:doNotHyphenateCap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138"/>
    <w:rsid w:val="00023B72"/>
    <w:rsid w:val="0004513F"/>
    <w:rsid w:val="000452E2"/>
    <w:rsid w:val="00087ADB"/>
    <w:rsid w:val="000B6B8F"/>
    <w:rsid w:val="000C1A83"/>
    <w:rsid w:val="000D712A"/>
    <w:rsid w:val="00121B42"/>
    <w:rsid w:val="00127FE1"/>
    <w:rsid w:val="001362BD"/>
    <w:rsid w:val="00142D01"/>
    <w:rsid w:val="00147E5B"/>
    <w:rsid w:val="001870A5"/>
    <w:rsid w:val="001B2E8E"/>
    <w:rsid w:val="001C0FAF"/>
    <w:rsid w:val="00233C82"/>
    <w:rsid w:val="002347D7"/>
    <w:rsid w:val="002F31A2"/>
    <w:rsid w:val="00310656"/>
    <w:rsid w:val="003531CD"/>
    <w:rsid w:val="00355B7D"/>
    <w:rsid w:val="00384654"/>
    <w:rsid w:val="003D4A68"/>
    <w:rsid w:val="003F6790"/>
    <w:rsid w:val="00413693"/>
    <w:rsid w:val="00420930"/>
    <w:rsid w:val="00426DBF"/>
    <w:rsid w:val="00445421"/>
    <w:rsid w:val="004821DC"/>
    <w:rsid w:val="00484B2D"/>
    <w:rsid w:val="00532E98"/>
    <w:rsid w:val="00536826"/>
    <w:rsid w:val="0053778E"/>
    <w:rsid w:val="005E5074"/>
    <w:rsid w:val="00637ECA"/>
    <w:rsid w:val="0064450D"/>
    <w:rsid w:val="006E07B0"/>
    <w:rsid w:val="00753C6E"/>
    <w:rsid w:val="007652FD"/>
    <w:rsid w:val="0078275C"/>
    <w:rsid w:val="007B5CF3"/>
    <w:rsid w:val="007C30ED"/>
    <w:rsid w:val="00854E45"/>
    <w:rsid w:val="00883595"/>
    <w:rsid w:val="008B05A3"/>
    <w:rsid w:val="008C5593"/>
    <w:rsid w:val="008D28D7"/>
    <w:rsid w:val="00935DEB"/>
    <w:rsid w:val="00943D75"/>
    <w:rsid w:val="009D0856"/>
    <w:rsid w:val="00A66EAC"/>
    <w:rsid w:val="00AA16BB"/>
    <w:rsid w:val="00AF4778"/>
    <w:rsid w:val="00AF7539"/>
    <w:rsid w:val="00B1541F"/>
    <w:rsid w:val="00B5022B"/>
    <w:rsid w:val="00B5360C"/>
    <w:rsid w:val="00B659B1"/>
    <w:rsid w:val="00B9034E"/>
    <w:rsid w:val="00BC7138"/>
    <w:rsid w:val="00C30A16"/>
    <w:rsid w:val="00C34B17"/>
    <w:rsid w:val="00C74275"/>
    <w:rsid w:val="00C81FDD"/>
    <w:rsid w:val="00CE2277"/>
    <w:rsid w:val="00CE6739"/>
    <w:rsid w:val="00CF7474"/>
    <w:rsid w:val="00D04BAE"/>
    <w:rsid w:val="00D13A92"/>
    <w:rsid w:val="00D34756"/>
    <w:rsid w:val="00D77BDB"/>
    <w:rsid w:val="00DD5FD0"/>
    <w:rsid w:val="00E24FA6"/>
    <w:rsid w:val="00E63630"/>
    <w:rsid w:val="00EB1056"/>
    <w:rsid w:val="00EC3928"/>
    <w:rsid w:val="00F2029B"/>
    <w:rsid w:val="00F33D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AF06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138"/>
    <w:rPr>
      <w:rFonts w:eastAsia="PMingLiU"/>
      <w:sz w:val="24"/>
      <w:szCs w:val="24"/>
    </w:rPr>
  </w:style>
  <w:style w:type="paragraph" w:styleId="Heading2">
    <w:name w:val="heading 2"/>
    <w:basedOn w:val="Normal"/>
    <w:link w:val="Heading2Char"/>
    <w:uiPriority w:val="9"/>
    <w:qFormat/>
    <w:rsid w:val="000D712A"/>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rsid w:val="00087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styleId="Hyperlink">
    <w:name w:val="Hyperlink"/>
    <w:basedOn w:val="DefaultParagraphFont"/>
    <w:uiPriority w:val="99"/>
    <w:semiHidden/>
    <w:unhideWhenUsed/>
    <w:rsid w:val="000D712A"/>
    <w:rPr>
      <w:color w:val="0000FF"/>
      <w:u w:val="single"/>
    </w:rPr>
  </w:style>
  <w:style w:type="character" w:customStyle="1" w:styleId="Heading2Char">
    <w:name w:val="Heading 2 Char"/>
    <w:basedOn w:val="DefaultParagraphFont"/>
    <w:link w:val="Heading2"/>
    <w:uiPriority w:val="9"/>
    <w:rsid w:val="000D712A"/>
    <w:rPr>
      <w:b/>
      <w:bCs/>
      <w:sz w:val="36"/>
      <w:szCs w:val="36"/>
    </w:rPr>
  </w:style>
  <w:style w:type="paragraph" w:styleId="BalloonText">
    <w:name w:val="Balloon Text"/>
    <w:basedOn w:val="Normal"/>
    <w:link w:val="BalloonTextChar"/>
    <w:uiPriority w:val="99"/>
    <w:semiHidden/>
    <w:unhideWhenUsed/>
    <w:rsid w:val="00CF7474"/>
    <w:rPr>
      <w:rFonts w:ascii="Tahoma" w:hAnsi="Tahoma" w:cs="Tahoma"/>
      <w:sz w:val="16"/>
      <w:szCs w:val="16"/>
    </w:rPr>
  </w:style>
  <w:style w:type="character" w:customStyle="1" w:styleId="BalloonTextChar">
    <w:name w:val="Balloon Text Char"/>
    <w:basedOn w:val="DefaultParagraphFont"/>
    <w:link w:val="BalloonText"/>
    <w:uiPriority w:val="99"/>
    <w:semiHidden/>
    <w:rsid w:val="00CF7474"/>
    <w:rPr>
      <w:rFonts w:ascii="Tahoma" w:eastAsia="PMingLiU" w:hAnsi="Tahoma" w:cs="Tahoma"/>
      <w:sz w:val="16"/>
      <w:szCs w:val="16"/>
    </w:rPr>
  </w:style>
  <w:style w:type="paragraph" w:styleId="Header">
    <w:name w:val="header"/>
    <w:basedOn w:val="Normal"/>
    <w:link w:val="HeaderChar"/>
    <w:uiPriority w:val="99"/>
    <w:unhideWhenUsed/>
    <w:rsid w:val="00C30A16"/>
    <w:pPr>
      <w:tabs>
        <w:tab w:val="center" w:pos="4320"/>
        <w:tab w:val="right" w:pos="8640"/>
      </w:tabs>
    </w:pPr>
  </w:style>
  <w:style w:type="character" w:customStyle="1" w:styleId="HeaderChar">
    <w:name w:val="Header Char"/>
    <w:basedOn w:val="DefaultParagraphFont"/>
    <w:link w:val="Header"/>
    <w:uiPriority w:val="99"/>
    <w:rsid w:val="00C30A16"/>
    <w:rPr>
      <w:rFonts w:eastAsia="PMingLiU"/>
      <w:sz w:val="24"/>
      <w:szCs w:val="24"/>
    </w:rPr>
  </w:style>
  <w:style w:type="paragraph" w:styleId="Footer">
    <w:name w:val="footer"/>
    <w:basedOn w:val="Normal"/>
    <w:link w:val="FooterChar"/>
    <w:uiPriority w:val="99"/>
    <w:unhideWhenUsed/>
    <w:rsid w:val="00C30A16"/>
    <w:pPr>
      <w:tabs>
        <w:tab w:val="center" w:pos="4320"/>
        <w:tab w:val="right" w:pos="8640"/>
      </w:tabs>
    </w:pPr>
  </w:style>
  <w:style w:type="character" w:customStyle="1" w:styleId="FooterChar">
    <w:name w:val="Footer Char"/>
    <w:basedOn w:val="DefaultParagraphFont"/>
    <w:link w:val="Footer"/>
    <w:uiPriority w:val="99"/>
    <w:rsid w:val="00C30A16"/>
    <w:rPr>
      <w:rFonts w:eastAsia="PMingLiU"/>
      <w:sz w:val="24"/>
      <w:szCs w:val="24"/>
    </w:rPr>
  </w:style>
  <w:style w:type="paragraph" w:styleId="NormalWeb">
    <w:name w:val="Normal (Web)"/>
    <w:basedOn w:val="Normal"/>
    <w:rsid w:val="00883595"/>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138"/>
    <w:rPr>
      <w:rFonts w:eastAsia="PMingLiU"/>
      <w:sz w:val="24"/>
      <w:szCs w:val="24"/>
    </w:rPr>
  </w:style>
  <w:style w:type="paragraph" w:styleId="Heading2">
    <w:name w:val="heading 2"/>
    <w:basedOn w:val="Normal"/>
    <w:link w:val="Heading2Char"/>
    <w:uiPriority w:val="9"/>
    <w:qFormat/>
    <w:rsid w:val="000D712A"/>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rsid w:val="00087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styleId="Hyperlink">
    <w:name w:val="Hyperlink"/>
    <w:basedOn w:val="DefaultParagraphFont"/>
    <w:uiPriority w:val="99"/>
    <w:semiHidden/>
    <w:unhideWhenUsed/>
    <w:rsid w:val="000D712A"/>
    <w:rPr>
      <w:color w:val="0000FF"/>
      <w:u w:val="single"/>
    </w:rPr>
  </w:style>
  <w:style w:type="character" w:customStyle="1" w:styleId="Heading2Char">
    <w:name w:val="Heading 2 Char"/>
    <w:basedOn w:val="DefaultParagraphFont"/>
    <w:link w:val="Heading2"/>
    <w:uiPriority w:val="9"/>
    <w:rsid w:val="000D712A"/>
    <w:rPr>
      <w:b/>
      <w:bCs/>
      <w:sz w:val="36"/>
      <w:szCs w:val="36"/>
    </w:rPr>
  </w:style>
  <w:style w:type="paragraph" w:styleId="BalloonText">
    <w:name w:val="Balloon Text"/>
    <w:basedOn w:val="Normal"/>
    <w:link w:val="BalloonTextChar"/>
    <w:uiPriority w:val="99"/>
    <w:semiHidden/>
    <w:unhideWhenUsed/>
    <w:rsid w:val="00CF7474"/>
    <w:rPr>
      <w:rFonts w:ascii="Tahoma" w:hAnsi="Tahoma" w:cs="Tahoma"/>
      <w:sz w:val="16"/>
      <w:szCs w:val="16"/>
    </w:rPr>
  </w:style>
  <w:style w:type="character" w:customStyle="1" w:styleId="BalloonTextChar">
    <w:name w:val="Balloon Text Char"/>
    <w:basedOn w:val="DefaultParagraphFont"/>
    <w:link w:val="BalloonText"/>
    <w:uiPriority w:val="99"/>
    <w:semiHidden/>
    <w:rsid w:val="00CF7474"/>
    <w:rPr>
      <w:rFonts w:ascii="Tahoma" w:eastAsia="PMingLiU" w:hAnsi="Tahoma" w:cs="Tahoma"/>
      <w:sz w:val="16"/>
      <w:szCs w:val="16"/>
    </w:rPr>
  </w:style>
  <w:style w:type="paragraph" w:styleId="Header">
    <w:name w:val="header"/>
    <w:basedOn w:val="Normal"/>
    <w:link w:val="HeaderChar"/>
    <w:uiPriority w:val="99"/>
    <w:unhideWhenUsed/>
    <w:rsid w:val="00C30A16"/>
    <w:pPr>
      <w:tabs>
        <w:tab w:val="center" w:pos="4320"/>
        <w:tab w:val="right" w:pos="8640"/>
      </w:tabs>
    </w:pPr>
  </w:style>
  <w:style w:type="character" w:customStyle="1" w:styleId="HeaderChar">
    <w:name w:val="Header Char"/>
    <w:basedOn w:val="DefaultParagraphFont"/>
    <w:link w:val="Header"/>
    <w:uiPriority w:val="99"/>
    <w:rsid w:val="00C30A16"/>
    <w:rPr>
      <w:rFonts w:eastAsia="PMingLiU"/>
      <w:sz w:val="24"/>
      <w:szCs w:val="24"/>
    </w:rPr>
  </w:style>
  <w:style w:type="paragraph" w:styleId="Footer">
    <w:name w:val="footer"/>
    <w:basedOn w:val="Normal"/>
    <w:link w:val="FooterChar"/>
    <w:uiPriority w:val="99"/>
    <w:unhideWhenUsed/>
    <w:rsid w:val="00C30A16"/>
    <w:pPr>
      <w:tabs>
        <w:tab w:val="center" w:pos="4320"/>
        <w:tab w:val="right" w:pos="8640"/>
      </w:tabs>
    </w:pPr>
  </w:style>
  <w:style w:type="character" w:customStyle="1" w:styleId="FooterChar">
    <w:name w:val="Footer Char"/>
    <w:basedOn w:val="DefaultParagraphFont"/>
    <w:link w:val="Footer"/>
    <w:uiPriority w:val="99"/>
    <w:rsid w:val="00C30A16"/>
    <w:rPr>
      <w:rFonts w:eastAsia="PMingLiU"/>
      <w:sz w:val="24"/>
      <w:szCs w:val="24"/>
    </w:rPr>
  </w:style>
  <w:style w:type="paragraph" w:styleId="NormalWeb">
    <w:name w:val="Normal (Web)"/>
    <w:basedOn w:val="Normal"/>
    <w:rsid w:val="00883595"/>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244487">
      <w:bodyDiv w:val="1"/>
      <w:marLeft w:val="0"/>
      <w:marRight w:val="0"/>
      <w:marTop w:val="0"/>
      <w:marBottom w:val="0"/>
      <w:divBdr>
        <w:top w:val="none" w:sz="0" w:space="0" w:color="auto"/>
        <w:left w:val="none" w:sz="0" w:space="0" w:color="auto"/>
        <w:bottom w:val="none" w:sz="0" w:space="0" w:color="auto"/>
        <w:right w:val="none" w:sz="0" w:space="0" w:color="auto"/>
      </w:divBdr>
    </w:div>
    <w:div w:id="206020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515</Words>
  <Characters>2940</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Cationic polymers that condense plasmid DNA through electrostatic interactions to form nanocomplexes have emerged as safer, though less efficient, options than viral vectors for gene transfer</vt:lpstr>
    </vt:vector>
  </TitlesOfParts>
  <Company/>
  <LinksUpToDate>false</LinksUpToDate>
  <CharactersWithSpaces>3449</CharactersWithSpaces>
  <SharedDoc>false</SharedDoc>
  <HLinks>
    <vt:vector size="12" baseType="variant">
      <vt:variant>
        <vt:i4>7405601</vt:i4>
      </vt:variant>
      <vt:variant>
        <vt:i4>3</vt:i4>
      </vt:variant>
      <vt:variant>
        <vt:i4>0</vt:i4>
      </vt:variant>
      <vt:variant>
        <vt:i4>5</vt:i4>
      </vt:variant>
      <vt:variant>
        <vt:lpwstr>http://www.gms.edu.sg/downloads/GMS Map-10.pdf</vt:lpwstr>
      </vt:variant>
      <vt:variant>
        <vt:lpwstr/>
      </vt:variant>
      <vt:variant>
        <vt:i4>7536702</vt:i4>
      </vt:variant>
      <vt:variant>
        <vt:i4>0</vt:i4>
      </vt:variant>
      <vt:variant>
        <vt:i4>0</vt:i4>
      </vt:variant>
      <vt:variant>
        <vt:i4>5</vt:i4>
      </vt:variant>
      <vt:variant>
        <vt:lpwstr>http://www.gms.edu.sg/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Cationic polymers that condense plasmid DNA through electrostatic interactions to form nanocomplexes have emerged as safer, though less efficient, options than viral vectors for gene transfer</dc:title>
  <dc:creator>Kam</dc:creator>
  <cp:lastModifiedBy>Kam Leong</cp:lastModifiedBy>
  <cp:revision>2</cp:revision>
  <dcterms:created xsi:type="dcterms:W3CDTF">2015-11-08T06:48:00Z</dcterms:created>
  <dcterms:modified xsi:type="dcterms:W3CDTF">2015-11-08T06:48:00Z</dcterms:modified>
</cp:coreProperties>
</file>