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352" w:rsidRDefault="00204352" w:rsidP="00204352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北方民族大学简介</w:t>
      </w:r>
    </w:p>
    <w:p w:rsidR="00204352" w:rsidRDefault="00204352" w:rsidP="00204352">
      <w:pPr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北方民族大学是我国唯一一所建立在少数民族自治区的部委高校，直属于国家民族事务委员会，坐落在“塞上江南”——宁夏回族自治区首府银川市。 </w:t>
      </w:r>
    </w:p>
    <w:p w:rsidR="00204352" w:rsidRDefault="00204352" w:rsidP="00204352">
      <w:pPr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学校始建于1984年，原名西北第二民族学院。2004年国家民委与宁夏回族自治区签署共建协议，2007年在教育部本科教学工作水平评估中获得优秀，2008年5月更名为北方民族大学。 </w:t>
      </w:r>
    </w:p>
    <w:p w:rsidR="00204352" w:rsidRDefault="00204352" w:rsidP="00204352">
      <w:pPr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学校面向全国31个省市自治区招生，现有56个民族的研究生、本科生、预科生20000余人，少数民族学生占到65%以上，是中华民族大家庭的缩影。30余年来，学校为少数民族和民族地区经济社会发展培养了大批优秀人才，他们为民族地区经济建设、社会发展、民族和谐贡献着自己的青春和智慧，为民族团结进步事业做出了积极贡献。学校多次荣获“民族团结进步先进集体”荣誉称号。 </w:t>
      </w:r>
    </w:p>
    <w:p w:rsidR="00204352" w:rsidRDefault="00204352" w:rsidP="00204352">
      <w:pPr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学校在学科建设、专业设置上注重民族地区的需要，关注民族地区的发展。目前，有经济、法学、教育学、文学、历史学、理学、工学、医学、管理学、艺术学10个学科门类；国际经济与贸易、信息</w:t>
      </w:r>
      <w:r w:rsidRPr="00F53081">
        <w:rPr>
          <w:rFonts w:ascii="宋体" w:hAnsi="宋体" w:hint="eastAsia"/>
          <w:color w:val="000000"/>
          <w:szCs w:val="21"/>
        </w:rPr>
        <w:t>工程、动画等67个本科专业；有</w:t>
      </w:r>
      <w:r>
        <w:rPr>
          <w:rFonts w:ascii="宋体" w:hAnsi="宋体" w:hint="eastAsia"/>
          <w:color w:val="000000"/>
          <w:szCs w:val="21"/>
        </w:rPr>
        <w:t>中国少数民族史等16个省部级重点及优势特色学科；有材料科学与工程等4个国家级特色专业，汉语言文学等8个省部级特色专业；法学等4个省部级重点建设专业；有民族学等6个一级学科硕士学位点、中国少数民族经济等31个二级学科硕士学位点、有工程硕士等3个专业硕士学位点；有材料科学实验教学示范中心等8个省部级及以上实验教学示范中心。学科专业的优化建设，为少数民族学生的成长成才提供了良好平台。</w:t>
      </w:r>
    </w:p>
    <w:p w:rsidR="00204352" w:rsidRDefault="00204352" w:rsidP="00204352">
      <w:pPr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学校坚持教师队伍是学校发展的核心的理念，坚持“建设人才绿洲，超越人才绿洲”的发展战略，坚持培养和引进并重，建设了一支包括1名双聘院士、多名二级教授在内的教师队伍。教师队伍素质优良、治学严谨、结构合理，是少数民族学生成长成才的引路人，是面向民族地区经济建设开展科学研究的骨干力量。</w:t>
      </w:r>
    </w:p>
    <w:p w:rsidR="00204352" w:rsidRDefault="00204352" w:rsidP="00204352">
      <w:pPr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学校教师队伍中正高职称155人，副高职称335人，其中双聘院士1人、长江学者特聘教授1人，入选“新世纪百千万人才工程”国家级人选</w:t>
      </w:r>
      <w:r w:rsidR="00F53081"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人，享受国务院政府特殊津贴6人，入选全国“百千万知识产权人才工程”百名高层次人才1人，入选教育部“新世纪人才支持计划” 1人，获选“全国优秀教师”1人，获得国家民委突出贡献专家奖4人，入选“国家民委创新团队支持计划”团队1个，入选“国家民委领军人才支持计划” 4人，入选“国家民委中青年英才培养计划” 10人，入选宁夏首批“塞上英才”人才工程1人，享受自治</w:t>
      </w:r>
      <w:r>
        <w:rPr>
          <w:rFonts w:ascii="宋体" w:hAnsi="宋体" w:hint="eastAsia"/>
          <w:color w:val="000000"/>
          <w:szCs w:val="21"/>
        </w:rPr>
        <w:lastRenderedPageBreak/>
        <w:t xml:space="preserve">区政府特殊津贴3人，入选自治区“新世纪 313 人才工程”9人。 </w:t>
      </w:r>
    </w:p>
    <w:p w:rsidR="00204352" w:rsidRDefault="00204352" w:rsidP="00204352">
      <w:pPr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学校在培养少数民族优秀人才的同时，积极面向民族地区经济建设开展科学研究，加强与地方政府的交流与合作，建立了依托地方、融入地方、服务地方的合作办学、合作攻关联合机制，加大校地校企合作步伐，在社会服务中实现大学使命和价值回归。在粉体材料与特种陶瓷研究，</w:t>
      </w:r>
      <w:r>
        <w:rPr>
          <w:rFonts w:ascii="宋体" w:hAnsi="宋体" w:hint="eastAsia"/>
          <w:szCs w:val="21"/>
        </w:rPr>
        <w:t>废渣循环再利用，清真食品研发，清真畜产品养殖，葡萄种植与葡萄酒酿造技术，</w:t>
      </w:r>
      <w:r>
        <w:rPr>
          <w:rFonts w:ascii="宋体" w:hAnsi="宋体" w:hint="eastAsia"/>
          <w:color w:val="000000"/>
          <w:szCs w:val="21"/>
        </w:rPr>
        <w:t>域外西夏文献的整理与研究，贺兰山、大麦地岩画研究，回族伊斯兰文化研究，少数民族艺术研究，少数民族史学研究及北方语言研究等方面形成了一定的特色和优势。</w:t>
      </w:r>
    </w:p>
    <w:p w:rsidR="00204352" w:rsidRDefault="00204352" w:rsidP="00204352">
      <w:pPr>
        <w:spacing w:line="360" w:lineRule="auto"/>
        <w:ind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学校建设了发酵酿造工程生物技术重点开放实验室等5个省部级重点实验室，其中粉体材料与特种陶瓷重点开放实验室为省部共建重点实验室；宁夏葡萄与葡萄酒技术创新中心为自治区创新中心；西北少数民族社会发展研究基地为国家民委人文社会科学研究基地；“粉体材料与特种陶瓷研发创新团队”、“特色微生物资源开发与利用创新团队”为自治区科技创新团队。</w:t>
      </w:r>
    </w:p>
    <w:p w:rsidR="00204352" w:rsidRDefault="00204352" w:rsidP="00204352">
      <w:pPr>
        <w:spacing w:line="360" w:lineRule="auto"/>
        <w:ind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学校坚持开放办学的原则，积极开展与国际国内高等院校、科研机构、地方政府、行业企业的交流合作，先后与北京大学、合肥工业大学、西安交通大学、北京科技大学、兰州大学以及美国路易斯安那大学、美国威斯康辛大学斯托特分校、英国格林多大学、马来西亚北方大学、马来西亚</w:t>
      </w:r>
      <w:r>
        <w:rPr>
          <w:szCs w:val="21"/>
        </w:rPr>
        <w:t>敦阿都拉萨大学</w:t>
      </w:r>
      <w:r>
        <w:rPr>
          <w:rFonts w:hint="eastAsia"/>
          <w:szCs w:val="21"/>
        </w:rPr>
        <w:t>、</w:t>
      </w:r>
      <w:r>
        <w:rPr>
          <w:rFonts w:ascii="宋体" w:hAnsi="宋体" w:hint="eastAsia"/>
          <w:color w:val="000000"/>
          <w:szCs w:val="21"/>
        </w:rPr>
        <w:t>泰国清迈大学等国内外高校建立并保持着良好的合作关系。</w:t>
      </w:r>
    </w:p>
    <w:p w:rsidR="00204352" w:rsidRDefault="00204352" w:rsidP="00204352">
      <w:pPr>
        <w:spacing w:line="360" w:lineRule="auto"/>
        <w:ind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北方民族大学将</w:t>
      </w:r>
      <w:r>
        <w:rPr>
          <w:rFonts w:hint="eastAsia"/>
          <w:color w:val="333333"/>
          <w:szCs w:val="21"/>
        </w:rPr>
        <w:t>深入贯彻党的十八大和十八届三中、四中全会精神，深入贯彻中央民族工作会议精神，</w:t>
      </w:r>
      <w:r>
        <w:rPr>
          <w:rFonts w:ascii="宋体" w:hAnsi="宋体" w:hint="eastAsia"/>
          <w:color w:val="000000"/>
          <w:szCs w:val="21"/>
        </w:rPr>
        <w:t xml:space="preserve">全面深化改革，全面推进依法治校，进一步实施“质量立校、人才强校、科技强校、管理兴校”四大战略，着力完成“提高质量、提升水平、文化传承、条件保障”四大任务，坚持内涵建设与质量提升，走内涵发展之路，为实现有特色高水平的现代民族大学的目标而不懈奋斗。 </w:t>
      </w:r>
    </w:p>
    <w:p w:rsidR="00204352" w:rsidRDefault="00204352" w:rsidP="00204352"/>
    <w:p w:rsidR="00494595" w:rsidRPr="00204352" w:rsidRDefault="00494595"/>
    <w:sectPr w:rsidR="00494595" w:rsidRPr="00204352" w:rsidSect="004945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4352"/>
    <w:rsid w:val="00204352"/>
    <w:rsid w:val="00494595"/>
    <w:rsid w:val="00F53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266</Words>
  <Characters>1522</Characters>
  <Application>Microsoft Office Word</Application>
  <DocSecurity>0</DocSecurity>
  <Lines>12</Lines>
  <Paragraphs>3</Paragraphs>
  <ScaleCrop>false</ScaleCrop>
  <Company>china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宋毅</dc:creator>
  <cp:keywords/>
  <dc:description/>
  <cp:lastModifiedBy>宋毅</cp:lastModifiedBy>
  <cp:revision>2</cp:revision>
  <dcterms:created xsi:type="dcterms:W3CDTF">2015-05-06T01:20:00Z</dcterms:created>
  <dcterms:modified xsi:type="dcterms:W3CDTF">2015-05-06T01:22:00Z</dcterms:modified>
</cp:coreProperties>
</file>